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969E" w14:textId="08FA7DDA" w:rsidR="0036046E" w:rsidRPr="00E34A3C" w:rsidRDefault="0036046E" w:rsidP="00E34A3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E34A3C">
        <w:rPr>
          <w:rFonts w:ascii="Arial" w:eastAsia="Arial" w:hAnsi="Arial" w:cs="Arial"/>
          <w:b/>
          <w:sz w:val="24"/>
          <w:szCs w:val="24"/>
        </w:rPr>
        <w:t xml:space="preserve">Segundas </w:t>
      </w:r>
      <w:proofErr w:type="spellStart"/>
      <w:r w:rsidRPr="00E34A3C">
        <w:rPr>
          <w:rFonts w:ascii="Arial" w:eastAsia="Arial" w:hAnsi="Arial" w:cs="Arial"/>
          <w:b/>
          <w:sz w:val="24"/>
          <w:szCs w:val="24"/>
        </w:rPr>
        <w:t>segundas</w:t>
      </w:r>
      <w:proofErr w:type="spellEnd"/>
      <w:r w:rsidRPr="00E34A3C">
        <w:rPr>
          <w:rFonts w:ascii="Arial" w:eastAsia="Arial" w:hAnsi="Arial" w:cs="Arial"/>
          <w:b/>
          <w:sz w:val="24"/>
          <w:szCs w:val="24"/>
        </w:rPr>
        <w:t xml:space="preserve"> – Tertúlias de Arquitectura</w:t>
      </w:r>
    </w:p>
    <w:p w14:paraId="417FBF7B" w14:textId="0B4C69B1" w:rsidR="0036046E" w:rsidRPr="00E34A3C" w:rsidRDefault="0036046E" w:rsidP="00E34A3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E34A3C">
        <w:rPr>
          <w:rFonts w:ascii="Arial" w:eastAsia="Arial" w:hAnsi="Arial" w:cs="Arial"/>
          <w:b/>
          <w:sz w:val="24"/>
          <w:szCs w:val="24"/>
        </w:rPr>
        <w:t>Honorários e a profissão</w:t>
      </w:r>
      <w:bookmarkStart w:id="0" w:name="_GoBack"/>
      <w:bookmarkEnd w:id="0"/>
    </w:p>
    <w:p w14:paraId="0D7F50B2" w14:textId="21AFA75E" w:rsidR="0036046E" w:rsidRPr="00E34A3C" w:rsidRDefault="0036046E" w:rsidP="00E34A3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E34A3C">
        <w:rPr>
          <w:rFonts w:ascii="Arial" w:eastAsia="Arial" w:hAnsi="Arial" w:cs="Arial"/>
          <w:b/>
          <w:sz w:val="24"/>
          <w:szCs w:val="24"/>
        </w:rPr>
        <w:t xml:space="preserve">8 </w:t>
      </w:r>
      <w:proofErr w:type="gramStart"/>
      <w:r w:rsidRPr="00E34A3C">
        <w:rPr>
          <w:rFonts w:ascii="Arial" w:eastAsia="Arial" w:hAnsi="Arial" w:cs="Arial"/>
          <w:b/>
          <w:sz w:val="24"/>
          <w:szCs w:val="24"/>
        </w:rPr>
        <w:t>de</w:t>
      </w:r>
      <w:proofErr w:type="gramEnd"/>
      <w:r w:rsidRPr="00E34A3C">
        <w:rPr>
          <w:rFonts w:ascii="Arial" w:eastAsia="Arial" w:hAnsi="Arial" w:cs="Arial"/>
          <w:b/>
          <w:sz w:val="24"/>
          <w:szCs w:val="24"/>
        </w:rPr>
        <w:t xml:space="preserve"> Abril de 2019</w:t>
      </w:r>
    </w:p>
    <w:p w14:paraId="1032872B" w14:textId="77777777" w:rsidR="0036046E" w:rsidRPr="00E34A3C" w:rsidRDefault="0036046E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1" w14:textId="224B4D9F" w:rsidR="00900859" w:rsidRPr="00E34A3C" w:rsidRDefault="0090449B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>Foi no dia oito de Abril que se</w:t>
      </w:r>
      <w:r w:rsidR="007B44AC" w:rsidRPr="00E34A3C">
        <w:rPr>
          <w:rFonts w:ascii="Arial" w:eastAsia="Arial" w:hAnsi="Arial" w:cs="Arial"/>
          <w:sz w:val="24"/>
          <w:szCs w:val="24"/>
        </w:rPr>
        <w:t xml:space="preserve"> realizou mais uma tertúlia de A</w:t>
      </w:r>
      <w:r w:rsidRPr="00E34A3C">
        <w:rPr>
          <w:rFonts w:ascii="Arial" w:eastAsia="Arial" w:hAnsi="Arial" w:cs="Arial"/>
          <w:sz w:val="24"/>
          <w:szCs w:val="24"/>
        </w:rPr>
        <w:t xml:space="preserve">rquitectura no âmbito do programa das “Segundas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Segundas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” desenvolvido pelo núcleo de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arquitectos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da região de Aveiro (NAAV). Esta sessão foi recebida em casa do mesmo núcleo e tinha como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objectivo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discutir o tema: PROFISSÃO, MERCADO E HONORÁRIOS.</w:t>
      </w:r>
    </w:p>
    <w:p w14:paraId="00000002" w14:textId="77777777" w:rsidR="00900859" w:rsidRPr="00E34A3C" w:rsidRDefault="0090449B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>A promessa da mesa redonda foi cumprida, mas mais do que a forma literal, a intenção figurativa para que o debate se desenvolvesse através de uma saudável troca de ideias e num estilo congregador e informal, foi também na maior parte respeitada.</w:t>
      </w:r>
    </w:p>
    <w:p w14:paraId="00000003" w14:textId="43987543" w:rsidR="00900859" w:rsidRPr="00E34A3C" w:rsidRDefault="0090449B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 xml:space="preserve">Para o efeito a mesa contou com a presença dos seguintes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arquitectos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convidados: António Lopes da Costa (Atelier d’Arquitectura Lopes da Costa), Catarina Fortuna (João Mendes Ribeiro Arq.), Paulo Martins (Paulo Martins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Arq&amp;Design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>), Nuno Matos (</w:t>
      </w:r>
      <w:r w:rsidR="00E44984" w:rsidRPr="00E34A3C">
        <w:rPr>
          <w:rFonts w:ascii="Arial" w:eastAsia="Arial" w:hAnsi="Arial" w:cs="Arial"/>
          <w:sz w:val="24"/>
          <w:szCs w:val="24"/>
        </w:rPr>
        <w:t xml:space="preserve">Arquitectos </w:t>
      </w:r>
      <w:r w:rsidRPr="00E34A3C">
        <w:rPr>
          <w:rFonts w:ascii="Arial" w:eastAsia="Arial" w:hAnsi="Arial" w:cs="Arial"/>
          <w:sz w:val="24"/>
          <w:szCs w:val="24"/>
        </w:rPr>
        <w:t xml:space="preserve">Matos) e Ricardo Vieira de Melo (RVDM Arquitectos). A moderar a conversa a mesa incluía ainda o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arquitecto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Nuno Silva (NU.MA Arquitectura).</w:t>
      </w:r>
    </w:p>
    <w:p w14:paraId="00000004" w14:textId="1DE66D78" w:rsidR="00900859" w:rsidRPr="00E34A3C" w:rsidRDefault="0090449B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 xml:space="preserve">Num espaço com cerca de cinquenta pessoas a assistir, é importante referir a presença do </w:t>
      </w:r>
      <w:proofErr w:type="spellStart"/>
      <w:r w:rsidRPr="00E34A3C">
        <w:rPr>
          <w:rFonts w:ascii="Arial" w:eastAsia="Arial" w:hAnsi="Arial" w:cs="Arial"/>
          <w:sz w:val="24"/>
          <w:szCs w:val="24"/>
        </w:rPr>
        <w:t>arquitecto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Alexandre Ferreira, representante da Ordem dos Arquitectos, que juntamente com o painel e a restante audiência tiveram a oportunidade de inte</w:t>
      </w:r>
      <w:r w:rsidR="007B44AC" w:rsidRPr="00E34A3C">
        <w:rPr>
          <w:rFonts w:ascii="Arial" w:eastAsia="Arial" w:hAnsi="Arial" w:cs="Arial"/>
          <w:sz w:val="24"/>
          <w:szCs w:val="24"/>
        </w:rPr>
        <w:t>rvir no debate contribuindo com</w:t>
      </w:r>
      <w:r w:rsidRPr="00E34A3C">
        <w:rPr>
          <w:rFonts w:ascii="Arial" w:eastAsia="Arial" w:hAnsi="Arial" w:cs="Arial"/>
          <w:sz w:val="24"/>
          <w:szCs w:val="24"/>
        </w:rPr>
        <w:t xml:space="preserve"> uma série de questões, pensamentos e observações dignas de registo. Destacam-se os seguintes temas:</w:t>
      </w:r>
    </w:p>
    <w:p w14:paraId="00000005" w14:textId="6AB496CA" w:rsidR="00900859" w:rsidRPr="00E34A3C" w:rsidRDefault="007B44AC" w:rsidP="00E34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arquitecto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e a A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rquitectura são ainda muitas vezes vistos apenas como mais uma etapa que se tem de ultrapassar, num processo </w:t>
      </w:r>
      <w:r w:rsidR="0090449B" w:rsidRPr="00E34A3C">
        <w:rPr>
          <w:rFonts w:ascii="Arial" w:eastAsia="Arial" w:hAnsi="Arial" w:cs="Arial"/>
          <w:sz w:val="24"/>
          <w:szCs w:val="24"/>
        </w:rPr>
        <w:t>moroso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e complexo, contrapondo o potencial valor do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arquitecto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como orientador, aconselhador e “criador de cidades”. Este será um pressuposto muito importante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>a combater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para ajudar a justificar as </w:t>
      </w:r>
      <w:r w:rsidR="0090449B" w:rsidRPr="00E34A3C">
        <w:rPr>
          <w:rFonts w:ascii="Arial" w:eastAsia="Arial" w:hAnsi="Arial" w:cs="Arial"/>
          <w:sz w:val="24"/>
          <w:szCs w:val="24"/>
        </w:rPr>
        <w:t>reivindicações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que são 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necessárias fazer quanto aos h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onorários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lastRenderedPageBreak/>
        <w:t>praticados no mercado.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>O tema dos honorários gerou consenso no debate, concordando-se que serão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um problema a resolver e que não estão alinhados com a complexidade e exigência da profissão</w:t>
      </w:r>
      <w:r w:rsidR="0090449B" w:rsidRPr="00E34A3C">
        <w:rPr>
          <w:rFonts w:ascii="Arial" w:eastAsia="Arial" w:hAnsi="Arial" w:cs="Arial"/>
          <w:sz w:val="24"/>
          <w:szCs w:val="24"/>
        </w:rPr>
        <w:t xml:space="preserve">. Algo estará mal no consciente passivo dos clientes que mais facilmente pagam uma percentagem significativa a uma empresa de mediação imobiliária do que a um gabinete que concretize um projeto de arquitetura à sua medida. Esta consciencialização deverá ser responsabilidade de todos os intervenientes da profissão! 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No entanto deverá existir uma regulação de referência que exija e control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>e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a qualidade do trabalho apresentado de maneira a proteger o estatuto da profissão.</w:t>
      </w:r>
    </w:p>
    <w:p w14:paraId="00000006" w14:textId="1032B554" w:rsidR="00900859" w:rsidRPr="00E34A3C" w:rsidRDefault="0090449B" w:rsidP="00E34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>A Ordem dos Arquitectos deve v</w:t>
      </w:r>
      <w:r w:rsidR="007B44AC" w:rsidRPr="00E34A3C">
        <w:rPr>
          <w:rFonts w:ascii="Arial" w:eastAsia="Arial" w:hAnsi="Arial" w:cs="Arial"/>
          <w:color w:val="000000"/>
          <w:sz w:val="24"/>
          <w:szCs w:val="24"/>
        </w:rPr>
        <w:t>alorizar o papel dos associados, deve apoiar os associados,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deve ouvir as denúncias feitas pelos associados e divulg</w:t>
      </w:r>
      <w:r w:rsidRPr="00E34A3C">
        <w:rPr>
          <w:rFonts w:ascii="Arial" w:eastAsia="Arial" w:hAnsi="Arial" w:cs="Arial"/>
          <w:sz w:val="24"/>
          <w:szCs w:val="24"/>
        </w:rPr>
        <w:t>ar as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más práticas no exercício da </w:t>
      </w:r>
      <w:r w:rsidR="007B44AC" w:rsidRPr="00E34A3C">
        <w:rPr>
          <w:rFonts w:ascii="Arial" w:eastAsia="Arial" w:hAnsi="Arial" w:cs="Arial"/>
          <w:color w:val="000000"/>
          <w:sz w:val="24"/>
          <w:szCs w:val="24"/>
        </w:rPr>
        <w:t>A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rquitectura. O regulamento deontológico deve ser mais sério e ser </w:t>
      </w:r>
      <w:r w:rsidRPr="00E34A3C">
        <w:rPr>
          <w:rFonts w:ascii="Arial" w:eastAsia="Arial" w:hAnsi="Arial" w:cs="Arial"/>
          <w:sz w:val="24"/>
          <w:szCs w:val="24"/>
        </w:rPr>
        <w:t>mais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levado a sério. A Ordem dos Arquitectos deve usar os núcleos como instrumentos locais mais próximos dos associados e ouvir as suas sugestões e recomendações.</w:t>
      </w:r>
    </w:p>
    <w:p w14:paraId="00000007" w14:textId="2D09B4D3" w:rsidR="00900859" w:rsidRPr="00E34A3C" w:rsidRDefault="007B44AC" w:rsidP="00E34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>Quanto ao ensino da A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rquitectura, e com o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objectivo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de formar melhor, considera-se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que a duração do curso é diminuta 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para capacitar os jovens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arquitectos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de bons princípios de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projecto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90449B" w:rsidRPr="00E34A3C">
        <w:rPr>
          <w:rFonts w:ascii="Arial" w:eastAsia="Arial" w:hAnsi="Arial" w:cs="Arial"/>
          <w:sz w:val="24"/>
          <w:szCs w:val="24"/>
        </w:rPr>
        <w:t>Simultaneamente</w:t>
      </w:r>
      <w:r w:rsidRPr="00E34A3C">
        <w:rPr>
          <w:rFonts w:ascii="Arial" w:eastAsia="Arial" w:hAnsi="Arial" w:cs="Arial"/>
          <w:sz w:val="24"/>
          <w:szCs w:val="24"/>
        </w:rPr>
        <w:t>,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levantam-se as seguintes quest</w:t>
      </w:r>
      <w:r w:rsidR="0090449B" w:rsidRPr="00E34A3C">
        <w:rPr>
          <w:rFonts w:ascii="Arial" w:eastAsia="Arial" w:hAnsi="Arial" w:cs="Arial"/>
          <w:sz w:val="24"/>
          <w:szCs w:val="24"/>
        </w:rPr>
        <w:t>ões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:</w:t>
      </w:r>
      <w:r w:rsidR="0090449B" w:rsidRPr="00E34A3C">
        <w:rPr>
          <w:rFonts w:ascii="Arial" w:eastAsia="Arial" w:hAnsi="Arial" w:cs="Arial"/>
          <w:sz w:val="24"/>
          <w:szCs w:val="24"/>
        </w:rPr>
        <w:t xml:space="preserve"> </w:t>
      </w:r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dever-se-á incluir uma especialização da profissão? Deverá o futuro da profissão abranger outras áreas que não estão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directamente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ligadas à construção e ao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projecto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de autor? Haverá a necessidade de o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arquitecto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se reinventar como político e trabalhar nessa esfera as bases para a “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arquitectura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 xml:space="preserve"> convencional”, acrescentando valor e qualidade ao exercício da </w:t>
      </w:r>
      <w:proofErr w:type="spellStart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arquitectura</w:t>
      </w:r>
      <w:proofErr w:type="spellEnd"/>
      <w:r w:rsidR="0090449B" w:rsidRPr="00E34A3C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00000008" w14:textId="30015918" w:rsidR="00900859" w:rsidRPr="00E34A3C" w:rsidRDefault="0090449B" w:rsidP="00E34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Os estágios devem ser pagos, mas é consensual que a entidade empregadora não deverá suportar a totalidade dos honorários. O estágio faz parte da formação do jovem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arquitecto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e como tal deverá ter contribuições externas. </w:t>
      </w:r>
      <w:r w:rsidR="007B44AC" w:rsidRPr="00E34A3C">
        <w:rPr>
          <w:rFonts w:ascii="Arial" w:eastAsia="Arial" w:hAnsi="Arial" w:cs="Arial"/>
          <w:color w:val="000000"/>
          <w:sz w:val="24"/>
          <w:szCs w:val="24"/>
        </w:rPr>
        <w:t>Dessa forma, o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gabinete empregador sentir-se-ia recompensado pela formação que intrinsecamente irá oferecer ao estagiário.</w:t>
      </w:r>
    </w:p>
    <w:p w14:paraId="00000009" w14:textId="77777777" w:rsidR="00900859" w:rsidRPr="00E34A3C" w:rsidRDefault="0090449B" w:rsidP="00E34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 trabalho de investigação que está a ser levado a cabo pela Ordem dos Arquitectos, relativo ao levantamento exaustivo sobre a prática da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arquitectura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(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>preços, exigências, etc.),</w:t>
      </w:r>
      <w:r w:rsidRPr="00E34A3C">
        <w:rPr>
          <w:rFonts w:ascii="Arial" w:eastAsia="Arial" w:hAnsi="Arial" w:cs="Arial"/>
          <w:sz w:val="24"/>
          <w:szCs w:val="24"/>
        </w:rPr>
        <w:t xml:space="preserve">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>deve ser</w:t>
      </w:r>
      <w:r w:rsidRPr="00E34A3C">
        <w:rPr>
          <w:rFonts w:ascii="Arial" w:eastAsia="Arial" w:hAnsi="Arial" w:cs="Arial"/>
          <w:sz w:val="24"/>
          <w:szCs w:val="24"/>
        </w:rPr>
        <w:t xml:space="preserve"> 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tornado público e deve servir como base de referência para um exercício da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arquitectura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mais digno. O mesmo trabalho também deve servir como base para a aplicação de índices de valores de referência para o cálculo dos honorários.</w:t>
      </w:r>
    </w:p>
    <w:p w14:paraId="0000000A" w14:textId="3EC3B2A7" w:rsidR="00900859" w:rsidRPr="00E34A3C" w:rsidRDefault="0090449B" w:rsidP="00E34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>Considera-se que os regulamentos municipais são muitas vezes “autênticos labirintos processuais” que oferecem aos técnicos uma série de obstáculos e resistências</w:t>
      </w:r>
      <w:r w:rsidR="007B44AC" w:rsidRPr="00E34A3C">
        <w:rPr>
          <w:rFonts w:ascii="Arial" w:eastAsia="Arial" w:hAnsi="Arial" w:cs="Arial"/>
          <w:sz w:val="24"/>
          <w:szCs w:val="24"/>
        </w:rPr>
        <w:t>,</w:t>
      </w:r>
      <w:r w:rsidRPr="00E34A3C">
        <w:rPr>
          <w:rFonts w:ascii="Arial" w:eastAsia="Arial" w:hAnsi="Arial" w:cs="Arial"/>
          <w:sz w:val="24"/>
          <w:szCs w:val="24"/>
        </w:rPr>
        <w:t xml:space="preserve"> em vez de servirem como instrumentos verdadeiramente reguladores. A simplificação destes ofereceria menos margem ao poder discricionário minimizando as áreas cinzentas e conferindo ao arquiteto mais poder com o seu termo de responsabilidade para o qual foi formado e certificado.</w:t>
      </w:r>
    </w:p>
    <w:p w14:paraId="0000000B" w14:textId="77777777" w:rsidR="00900859" w:rsidRPr="00E34A3C" w:rsidRDefault="0090449B" w:rsidP="00E34A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 xml:space="preserve">Ao mesmo tempo que a discussão ia avançando e os problemas iam sendo expostos, algumas propostas bem específicas iam sendo lançadas na discussão. Estas deverão ser refletidas como possíveis medidas a tomar: </w:t>
      </w:r>
    </w:p>
    <w:p w14:paraId="0000000C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Propor ao estado reduzir o IVA para 6% em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projectos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de reabilitação;</w:t>
      </w:r>
    </w:p>
    <w:p w14:paraId="0000000D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Incentivar a especialização dos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arquitectos</w:t>
      </w:r>
      <w:proofErr w:type="spellEnd"/>
      <w:r w:rsidRPr="00E34A3C">
        <w:rPr>
          <w:rFonts w:ascii="Arial" w:eastAsia="Arial" w:hAnsi="Arial" w:cs="Arial"/>
          <w:sz w:val="24"/>
          <w:szCs w:val="24"/>
        </w:rPr>
        <w:t xml:space="preserve"> sensibilizando o ministério da educação a reformar o ensino superior de arquitetura;</w:t>
      </w:r>
    </w:p>
    <w:p w14:paraId="0000000E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Divulgação pública dos processos de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projecto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e obra para elucidação e educação de potenciais clientes bem como da sociedade civil em geral;</w:t>
      </w:r>
    </w:p>
    <w:p w14:paraId="0000000F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Alterar modelos de concurso de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concepção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para duas fases. A primeira em regime aberto </w:t>
      </w:r>
      <w:r w:rsidRPr="00E34A3C">
        <w:rPr>
          <w:rFonts w:ascii="Arial" w:eastAsia="Arial" w:hAnsi="Arial" w:cs="Arial"/>
          <w:sz w:val="24"/>
          <w:szCs w:val="24"/>
        </w:rPr>
        <w:t>com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pequenos encargos para os participantes</w:t>
      </w:r>
      <w:r w:rsidRPr="00E34A3C">
        <w:rPr>
          <w:rFonts w:ascii="Arial" w:eastAsia="Arial" w:hAnsi="Arial" w:cs="Arial"/>
          <w:sz w:val="24"/>
          <w:szCs w:val="24"/>
        </w:rPr>
        <w:t>; a</w:t>
      </w:r>
      <w:r w:rsidRPr="00E34A3C">
        <w:rPr>
          <w:rFonts w:ascii="Arial" w:eastAsia="Arial" w:hAnsi="Arial" w:cs="Arial"/>
          <w:color w:val="000000"/>
          <w:sz w:val="24"/>
          <w:szCs w:val="24"/>
        </w:rPr>
        <w:t xml:space="preserve"> segunda com compensação financeira para todos os </w:t>
      </w:r>
      <w:proofErr w:type="spellStart"/>
      <w:r w:rsidRPr="00E34A3C">
        <w:rPr>
          <w:rFonts w:ascii="Arial" w:eastAsia="Arial" w:hAnsi="Arial" w:cs="Arial"/>
          <w:color w:val="000000"/>
          <w:sz w:val="24"/>
          <w:szCs w:val="24"/>
        </w:rPr>
        <w:t>seleccionados</w:t>
      </w:r>
      <w:proofErr w:type="spellEnd"/>
      <w:r w:rsidRPr="00E34A3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10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34A3C">
        <w:rPr>
          <w:rFonts w:ascii="Arial" w:eastAsia="Arial" w:hAnsi="Arial" w:cs="Arial"/>
          <w:color w:val="000000"/>
          <w:sz w:val="24"/>
          <w:szCs w:val="24"/>
        </w:rPr>
        <w:t>Apelar à denúncia cerrada de concursos privados gratuitos;</w:t>
      </w:r>
    </w:p>
    <w:p w14:paraId="00000011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E34A3C">
        <w:rPr>
          <w:rFonts w:ascii="Arial" w:eastAsia="Arial" w:hAnsi="Arial" w:cs="Arial"/>
          <w:sz w:val="24"/>
          <w:szCs w:val="24"/>
        </w:rPr>
        <w:t>Desincentivar, na esfera pública, os concursos em que o único critério de avaliação seja o orçamento, penalizando à partida a qualidade das propostas;</w:t>
      </w:r>
    </w:p>
    <w:p w14:paraId="00000012" w14:textId="77777777" w:rsidR="00900859" w:rsidRPr="00E34A3C" w:rsidRDefault="0090449B" w:rsidP="00E34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bookmarkStart w:id="2" w:name="_cv7cqseh9m7q" w:colFirst="0" w:colLast="0"/>
      <w:bookmarkEnd w:id="2"/>
      <w:r w:rsidRPr="00E34A3C">
        <w:rPr>
          <w:rFonts w:ascii="Arial" w:eastAsia="Arial" w:hAnsi="Arial" w:cs="Arial"/>
          <w:sz w:val="24"/>
          <w:szCs w:val="24"/>
        </w:rPr>
        <w:t>Inclusão do pagamento de honorários de arquitetura nas deduções em IRS.</w:t>
      </w:r>
    </w:p>
    <w:p w14:paraId="00000013" w14:textId="635BEA85" w:rsidR="00900859" w:rsidRPr="00E34A3C" w:rsidRDefault="0090449B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lastRenderedPageBreak/>
        <w:t>Julgam-se estas ideias e propostas serem motivo de destaque e reflexão e que, como tal, possam ajudar os intervenientes com poder na ponderaçã</w:t>
      </w:r>
      <w:r w:rsidR="00990B8F" w:rsidRPr="00E34A3C">
        <w:rPr>
          <w:rFonts w:ascii="Arial" w:eastAsia="Arial" w:hAnsi="Arial" w:cs="Arial"/>
          <w:sz w:val="24"/>
          <w:szCs w:val="24"/>
        </w:rPr>
        <w:t>o das eventuais reformas a realizar</w:t>
      </w:r>
      <w:r w:rsidRPr="00E34A3C">
        <w:rPr>
          <w:rFonts w:ascii="Arial" w:eastAsia="Arial" w:hAnsi="Arial" w:cs="Arial"/>
          <w:sz w:val="24"/>
          <w:szCs w:val="24"/>
        </w:rPr>
        <w:t>.</w:t>
      </w:r>
    </w:p>
    <w:p w14:paraId="00000014" w14:textId="77777777" w:rsidR="00900859" w:rsidRPr="00E34A3C" w:rsidRDefault="0090449B" w:rsidP="00E34A3C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34A3C">
        <w:rPr>
          <w:rFonts w:ascii="Arial" w:eastAsia="Arial" w:hAnsi="Arial" w:cs="Arial"/>
          <w:sz w:val="24"/>
          <w:szCs w:val="24"/>
        </w:rPr>
        <w:t>:FIM:</w:t>
      </w:r>
    </w:p>
    <w:sectPr w:rsidR="00900859" w:rsidRPr="00E34A3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6A3"/>
    <w:multiLevelType w:val="multilevel"/>
    <w:tmpl w:val="08BC8F3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74E42"/>
    <w:multiLevelType w:val="multilevel"/>
    <w:tmpl w:val="09E4C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9"/>
    <w:rsid w:val="0036046E"/>
    <w:rsid w:val="007B44AC"/>
    <w:rsid w:val="00900859"/>
    <w:rsid w:val="0090449B"/>
    <w:rsid w:val="00990B8F"/>
    <w:rsid w:val="00E34A3C"/>
    <w:rsid w:val="00E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9896-EF1A-44F2-946C-7B9F0B0E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Caridade</cp:lastModifiedBy>
  <cp:revision>4</cp:revision>
  <dcterms:created xsi:type="dcterms:W3CDTF">2019-06-06T15:59:00Z</dcterms:created>
  <dcterms:modified xsi:type="dcterms:W3CDTF">2019-06-13T10:42:00Z</dcterms:modified>
</cp:coreProperties>
</file>